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E2" w:rsidRDefault="00B974E2" w:rsidP="00B974E2">
      <w:pPr>
        <w:spacing w:line="276" w:lineRule="auto"/>
        <w:rPr>
          <w:rFonts w:ascii="Montserrat Light" w:hAnsi="Montserrat Light"/>
          <w:b/>
          <w:bCs/>
        </w:rPr>
      </w:pPr>
    </w:p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421957" w:rsidTr="00B81A4C">
        <w:trPr>
          <w:trHeight w:val="464"/>
        </w:trPr>
        <w:tc>
          <w:tcPr>
            <w:tcW w:w="10665" w:type="dxa"/>
            <w:vAlign w:val="center"/>
          </w:tcPr>
          <w:p w:rsidR="00B974E2" w:rsidRPr="00421957" w:rsidRDefault="00B974E2" w:rsidP="00B81A4C">
            <w:pPr>
              <w:jc w:val="center"/>
              <w:rPr>
                <w:rFonts w:ascii="Montserrat Light" w:hAnsi="Montserrat Light"/>
                <w:b/>
                <w:bCs/>
                <w:sz w:val="24"/>
                <w:szCs w:val="26"/>
              </w:rPr>
            </w:pPr>
            <w:r w:rsidRPr="00421957">
              <w:rPr>
                <w:rFonts w:ascii="Montserrat Light" w:hAnsi="Montserrat Light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:rsidR="00B974E2" w:rsidRPr="00421957" w:rsidRDefault="00B974E2" w:rsidP="00B81A4C">
            <w:pPr>
              <w:jc w:val="center"/>
              <w:rPr>
                <w:rFonts w:ascii="Montserrat Light" w:hAnsi="Montserrat Light"/>
                <w:bCs/>
                <w:sz w:val="26"/>
                <w:szCs w:val="26"/>
                <w:lang w:val="pt-BR"/>
              </w:rPr>
            </w:pPr>
            <w:r w:rsidRPr="00421957">
              <w:rPr>
                <w:rFonts w:ascii="Montserrat Light" w:hAnsi="Montserrat Light"/>
                <w:bCs/>
                <w:sz w:val="26"/>
                <w:szCs w:val="26"/>
                <w:lang w:val="pt-BR"/>
              </w:rPr>
              <w:t>------------</w:t>
            </w:r>
          </w:p>
          <w:p w:rsidR="00B974E2" w:rsidRPr="00421957" w:rsidRDefault="00B974E2" w:rsidP="00B81A4C">
            <w:pPr>
              <w:jc w:val="center"/>
              <w:rPr>
                <w:rFonts w:ascii="Montserrat Light" w:hAnsi="Montserrat Light"/>
                <w:bCs/>
                <w:sz w:val="26"/>
                <w:szCs w:val="26"/>
                <w:lang w:val="pt-BR"/>
              </w:rPr>
            </w:pPr>
            <w:r w:rsidRPr="00421957">
              <w:rPr>
                <w:rFonts w:ascii="Montserrat Light" w:hAnsi="Montserrat Light"/>
                <w:bCs/>
                <w:szCs w:val="26"/>
                <w:lang w:val="pt-BR"/>
              </w:rPr>
              <w:t>DIR</w:t>
            </w:r>
            <w:r>
              <w:rPr>
                <w:rFonts w:ascii="Montserrat Light" w:hAnsi="Montserrat Light"/>
                <w:bCs/>
                <w:szCs w:val="26"/>
                <w:lang w:val="pt-BR"/>
              </w:rPr>
              <w:t>ECTION DE LA COMPTABILITE NATIONALE ET DES STATISTIQUES ECONOMIQUES</w:t>
            </w:r>
          </w:p>
        </w:tc>
      </w:tr>
    </w:tbl>
    <w:p w:rsidR="00B974E2" w:rsidRDefault="00B974E2" w:rsidP="0041744B">
      <w:pPr>
        <w:spacing w:line="276" w:lineRule="auto"/>
        <w:rPr>
          <w:rFonts w:ascii="Montserrat Light" w:hAnsi="Montserrat Light"/>
          <w:b/>
          <w:bCs/>
        </w:rPr>
      </w:pPr>
    </w:p>
    <w:p w:rsidR="00B974E2" w:rsidRDefault="00B974E2" w:rsidP="00ED1D33">
      <w:pPr>
        <w:spacing w:line="276" w:lineRule="auto"/>
        <w:jc w:val="center"/>
        <w:rPr>
          <w:rFonts w:ascii="Montserrat Light" w:hAnsi="Montserrat Light"/>
          <w:b/>
          <w:bCs/>
        </w:rPr>
      </w:pPr>
    </w:p>
    <w:p w:rsidR="00B974E2" w:rsidRDefault="00B974E2" w:rsidP="00ED1D33">
      <w:pPr>
        <w:spacing w:line="276" w:lineRule="auto"/>
        <w:jc w:val="center"/>
        <w:rPr>
          <w:rFonts w:ascii="Montserrat Light" w:hAnsi="Montserrat Light"/>
          <w:b/>
          <w:bCs/>
        </w:rPr>
      </w:pPr>
    </w:p>
    <w:p w:rsidR="00B974E2" w:rsidRDefault="00B974E2" w:rsidP="00ED1D33">
      <w:pPr>
        <w:spacing w:line="276" w:lineRule="auto"/>
        <w:jc w:val="center"/>
        <w:rPr>
          <w:rFonts w:ascii="Montserrat Light" w:hAnsi="Montserrat Light"/>
          <w:b/>
          <w:bCs/>
        </w:rPr>
      </w:pPr>
    </w:p>
    <w:p w:rsidR="00B974E2" w:rsidRDefault="00B974E2" w:rsidP="00650AAA">
      <w:pPr>
        <w:spacing w:line="276" w:lineRule="auto"/>
        <w:rPr>
          <w:rFonts w:ascii="Montserrat Light" w:hAnsi="Montserrat Light"/>
          <w:b/>
          <w:bCs/>
        </w:rPr>
      </w:pPr>
    </w:p>
    <w:p w:rsidR="00ED1D33" w:rsidRPr="00ED1D33" w:rsidRDefault="00ED1D33" w:rsidP="00ED1D33">
      <w:pPr>
        <w:spacing w:line="276" w:lineRule="auto"/>
        <w:jc w:val="center"/>
        <w:rPr>
          <w:rFonts w:ascii="Montserrat Light" w:hAnsi="Montserrat Light"/>
          <w:b/>
          <w:bCs/>
        </w:rPr>
      </w:pPr>
      <w:r w:rsidRPr="00ED1D33">
        <w:rPr>
          <w:rFonts w:ascii="Montserrat Light" w:hAnsi="Montserrat Light"/>
          <w:b/>
          <w:bCs/>
        </w:rPr>
        <w:t>Evolution hebdomadaire des prix des produits de grande consommation et leurs variations dans certaines villes principales</w:t>
      </w:r>
    </w:p>
    <w:p w:rsidR="00ED1D33" w:rsidRPr="00ED1D33" w:rsidRDefault="00D16ECC" w:rsidP="00ED1D33">
      <w:pPr>
        <w:spacing w:line="276" w:lineRule="auto"/>
        <w:jc w:val="center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>Période : semaine du 28 février au 06</w:t>
      </w:r>
      <w:r w:rsidR="00ED1D33" w:rsidRPr="00ED1D33">
        <w:rPr>
          <w:rFonts w:ascii="Montserrat Light" w:hAnsi="Montserrat Light"/>
          <w:b/>
          <w:bCs/>
        </w:rPr>
        <w:t xml:space="preserve"> </w:t>
      </w:r>
      <w:r>
        <w:rPr>
          <w:rFonts w:ascii="Montserrat Light" w:hAnsi="Montserrat Light"/>
          <w:b/>
          <w:bCs/>
        </w:rPr>
        <w:t>mars</w:t>
      </w:r>
      <w:r w:rsidR="00ED1D33" w:rsidRPr="00ED1D33">
        <w:rPr>
          <w:rFonts w:ascii="Montserrat Light" w:hAnsi="Montserrat Light"/>
          <w:b/>
          <w:bCs/>
        </w:rPr>
        <w:t xml:space="preserve"> 2022</w:t>
      </w:r>
    </w:p>
    <w:p w:rsidR="00ED1D33" w:rsidRDefault="00ED1D33" w:rsidP="00ED1D33">
      <w:pPr>
        <w:spacing w:before="120" w:after="120"/>
        <w:jc w:val="both"/>
        <w:rPr>
          <w:rFonts w:ascii="Montserrat Light" w:hAnsi="Montserrat Light"/>
          <w:spacing w:val="-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421957" w:rsidTr="00B81A4C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B974E2" w:rsidRPr="00421957" w:rsidRDefault="00B974E2" w:rsidP="00B81A4C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B974E2" w:rsidRPr="00421957" w:rsidRDefault="00B974E2" w:rsidP="00B81A4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421957" w:rsidTr="00B81A4C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B974E2" w:rsidRPr="00421957" w:rsidRDefault="00B974E2" w:rsidP="00B81A4C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B974E2" w:rsidRPr="00421957" w:rsidRDefault="00B974E2" w:rsidP="00B81A4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B974E2" w:rsidRPr="00421957" w:rsidRDefault="00B974E2" w:rsidP="00B81A4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B974E2" w:rsidRPr="00421957" w:rsidRDefault="00B974E2" w:rsidP="00B81A4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B974E2" w:rsidRPr="00421957" w:rsidRDefault="00B974E2" w:rsidP="00B81A4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B974E2" w:rsidRPr="00421957" w:rsidRDefault="00B974E2" w:rsidP="00B81A4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bottom"/>
          </w:tcPr>
          <w:p w:rsidR="00B974E2" w:rsidRPr="00421957" w:rsidRDefault="00B974E2" w:rsidP="00B81A4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329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522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533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-2,4</w:t>
            </w:r>
          </w:p>
        </w:tc>
      </w:tr>
      <w:tr w:rsidR="00D16ECC" w:rsidRPr="00421957" w:rsidTr="00B81A4C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654</w:t>
            </w:r>
          </w:p>
        </w:tc>
      </w:tr>
      <w:tr w:rsidR="00D16ECC" w:rsidRPr="00421957" w:rsidTr="00B81A4C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</w:tr>
      <w:tr w:rsidR="00D16ECC" w:rsidRPr="00421957" w:rsidTr="004D7A0E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336</w:t>
            </w:r>
          </w:p>
        </w:tc>
      </w:tr>
      <w:tr w:rsidR="00D16ECC" w:rsidRPr="00421957" w:rsidTr="00B81A4C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</w:tr>
      <w:tr w:rsidR="00D16ECC" w:rsidRPr="00421957" w:rsidTr="004D7A0E">
        <w:trPr>
          <w:trHeight w:val="202"/>
          <w:jc w:val="center"/>
        </w:trPr>
        <w:tc>
          <w:tcPr>
            <w:tcW w:w="3856" w:type="dxa"/>
            <w:vMerge w:val="restart"/>
            <w:vAlign w:val="bottom"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525</w:t>
            </w:r>
          </w:p>
        </w:tc>
      </w:tr>
      <w:tr w:rsidR="00D16ECC" w:rsidRPr="00421957" w:rsidTr="00B81A4C">
        <w:trPr>
          <w:trHeight w:val="256"/>
          <w:jc w:val="center"/>
        </w:trPr>
        <w:tc>
          <w:tcPr>
            <w:tcW w:w="3856" w:type="dxa"/>
            <w:vMerge/>
            <w:vAlign w:val="bottom"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-1,5</w:t>
            </w:r>
          </w:p>
        </w:tc>
      </w:tr>
      <w:tr w:rsidR="00D16ECC" w:rsidRPr="00421957" w:rsidTr="00B81A4C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746</w:t>
            </w:r>
          </w:p>
        </w:tc>
      </w:tr>
      <w:tr w:rsidR="00D16ECC" w:rsidRPr="00421957" w:rsidTr="00B81A4C">
        <w:trPr>
          <w:trHeight w:val="261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2,5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530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3,1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490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-3,9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670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34,3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271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-34,3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-34,9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-13,3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633</w:t>
            </w:r>
          </w:p>
        </w:tc>
      </w:tr>
      <w:tr w:rsidR="00D16ECC" w:rsidRPr="00421957" w:rsidTr="00D16ECC">
        <w:trPr>
          <w:trHeight w:val="368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2,6</w:t>
            </w:r>
          </w:p>
        </w:tc>
      </w:tr>
      <w:tr w:rsidR="00D16ECC" w:rsidRPr="00421957" w:rsidTr="00B81A4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492</w:t>
            </w:r>
          </w:p>
        </w:tc>
      </w:tr>
      <w:tr w:rsidR="00D16ECC" w:rsidRPr="00421957" w:rsidTr="00D16ECC">
        <w:trPr>
          <w:trHeight w:val="305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-9,1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-3,1</w:t>
            </w:r>
          </w:p>
        </w:tc>
      </w:tr>
      <w:tr w:rsidR="00D16ECC" w:rsidRPr="00421957" w:rsidTr="00B81A4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4 380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4 400</w:t>
            </w:r>
          </w:p>
        </w:tc>
      </w:tr>
      <w:tr w:rsidR="00D16ECC" w:rsidRPr="00421957" w:rsidTr="00B81A4C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7,3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8 800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8 867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9 125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9 125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9 142</w:t>
            </w:r>
          </w:p>
        </w:tc>
      </w:tr>
      <w:tr w:rsidR="00D16ECC" w:rsidRPr="00421957" w:rsidTr="00D16ECC">
        <w:trPr>
          <w:trHeight w:val="411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7,6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1 500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2,2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D16ECC" w:rsidRPr="00421957" w:rsidTr="00D16ECC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D16ECC" w:rsidRPr="00421957" w:rsidTr="00D16ECC">
        <w:trPr>
          <w:trHeight w:val="255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5 933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5 600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D16ECC" w:rsidRPr="00421957" w:rsidTr="00B81A4C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D16ECC" w:rsidRPr="00421957" w:rsidTr="00B81A4C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D16ECC" w:rsidRPr="00421957" w:rsidTr="0041744B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433</w:t>
            </w:r>
          </w:p>
        </w:tc>
      </w:tr>
      <w:tr w:rsidR="00D16ECC" w:rsidRPr="00421957" w:rsidTr="00B81A4C">
        <w:trPr>
          <w:trHeight w:val="499"/>
          <w:jc w:val="center"/>
        </w:trPr>
        <w:tc>
          <w:tcPr>
            <w:tcW w:w="3856" w:type="dxa"/>
            <w:vMerge/>
            <w:vAlign w:val="bottom"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81 333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84 000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77 667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</w:tr>
      <w:tr w:rsidR="00D16ECC" w:rsidRPr="00421957" w:rsidTr="00B81A4C">
        <w:trPr>
          <w:trHeight w:val="5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82 667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77 667</w:t>
            </w:r>
          </w:p>
        </w:tc>
      </w:tr>
      <w:tr w:rsidR="00D16ECC" w:rsidRPr="00421957" w:rsidTr="00B81A4C">
        <w:trPr>
          <w:trHeight w:val="557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1,3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707 667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683 333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4,6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683 333</w:t>
            </w:r>
          </w:p>
        </w:tc>
      </w:tr>
      <w:tr w:rsidR="00D16ECC" w:rsidRPr="00421957" w:rsidTr="00B81A4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D16ECC" w:rsidRPr="00421957" w:rsidRDefault="00D16ECC" w:rsidP="00D16ECC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D16ECC" w:rsidRPr="00421957" w:rsidRDefault="00D16ECC" w:rsidP="00D16ECC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D16ECC" w:rsidRDefault="00D16ECC" w:rsidP="00D16ECC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4,6</w:t>
            </w:r>
          </w:p>
        </w:tc>
      </w:tr>
    </w:tbl>
    <w:p w:rsidR="002E3271" w:rsidRPr="00421957" w:rsidRDefault="002E3271" w:rsidP="002E3271">
      <w:pPr>
        <w:spacing w:before="120" w:line="276" w:lineRule="auto"/>
        <w:rPr>
          <w:rFonts w:ascii="Montserrat Light" w:hAnsi="Montserrat Light" w:cs="Times New Roman"/>
          <w:i/>
          <w:sz w:val="20"/>
          <w:szCs w:val="20"/>
        </w:rPr>
      </w:pPr>
      <w:r>
        <w:rPr>
          <w:rFonts w:ascii="Montserrat Light" w:hAnsi="Montserrat Light"/>
        </w:rPr>
        <w:t xml:space="preserve">      </w:t>
      </w:r>
      <w:r w:rsidRPr="00421957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2E3271" w:rsidRPr="00421957" w:rsidRDefault="002E3271" w:rsidP="002E3271">
      <w:pPr>
        <w:spacing w:line="276" w:lineRule="auto"/>
        <w:rPr>
          <w:rFonts w:ascii="Montserrat Light" w:hAnsi="Montserrat Light" w:cs="Times New Roman"/>
          <w:sz w:val="20"/>
          <w:szCs w:val="20"/>
        </w:rPr>
      </w:pPr>
      <w:r w:rsidRPr="002E3271">
        <w:rPr>
          <w:rFonts w:ascii="Montserrat Light" w:hAnsi="Montserrat Light" w:cs="Times New Roman"/>
          <w:b/>
          <w:sz w:val="20"/>
          <w:szCs w:val="20"/>
        </w:rPr>
        <w:t xml:space="preserve">       </w:t>
      </w:r>
      <w:r w:rsidRPr="00421957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Pr="00421957">
        <w:rPr>
          <w:rFonts w:ascii="Montserrat Light" w:hAnsi="Montserrat Light" w:cs="Times New Roman"/>
          <w:sz w:val="20"/>
          <w:szCs w:val="20"/>
        </w:rPr>
        <w:t> : DSS/</w:t>
      </w:r>
      <w:proofErr w:type="spellStart"/>
      <w:r w:rsidRPr="00421957">
        <w:rPr>
          <w:rFonts w:ascii="Montserrat Light" w:hAnsi="Montserrat Light" w:cs="Times New Roman"/>
          <w:sz w:val="20"/>
          <w:szCs w:val="20"/>
        </w:rPr>
        <w:t>INSatD</w:t>
      </w:r>
      <w:proofErr w:type="spellEnd"/>
      <w:r w:rsidRPr="00421957">
        <w:rPr>
          <w:rFonts w:ascii="Montserrat Light" w:hAnsi="Montserrat Light" w:cs="Times New Roman"/>
          <w:sz w:val="20"/>
          <w:szCs w:val="20"/>
        </w:rPr>
        <w:t xml:space="preserve">, </w:t>
      </w:r>
      <w:r w:rsidR="00622C6F">
        <w:rPr>
          <w:rFonts w:ascii="Montserrat Light" w:hAnsi="Montserrat Light" w:cs="Times New Roman"/>
          <w:sz w:val="20"/>
          <w:szCs w:val="20"/>
        </w:rPr>
        <w:t>09</w:t>
      </w:r>
      <w:r>
        <w:rPr>
          <w:rFonts w:ascii="Montserrat Light" w:hAnsi="Montserrat Light" w:cs="Times New Roman"/>
          <w:sz w:val="20"/>
          <w:szCs w:val="20"/>
        </w:rPr>
        <w:t xml:space="preserve"> </w:t>
      </w:r>
      <w:r w:rsidR="00622C6F">
        <w:rPr>
          <w:rFonts w:ascii="Montserrat Light" w:hAnsi="Montserrat Light" w:cs="Times New Roman"/>
          <w:sz w:val="20"/>
          <w:szCs w:val="20"/>
        </w:rPr>
        <w:t>mars</w:t>
      </w:r>
      <w:r>
        <w:rPr>
          <w:rFonts w:ascii="Montserrat Light" w:hAnsi="Montserrat Light" w:cs="Times New Roman"/>
          <w:sz w:val="20"/>
          <w:szCs w:val="20"/>
        </w:rPr>
        <w:t xml:space="preserve"> 2022</w:t>
      </w:r>
      <w:r w:rsidRPr="00421957">
        <w:rPr>
          <w:rFonts w:ascii="Montserrat Light" w:hAnsi="Montserrat Light" w:cs="Times New Roman"/>
          <w:sz w:val="20"/>
          <w:szCs w:val="20"/>
        </w:rPr>
        <w:t>.</w:t>
      </w:r>
    </w:p>
    <w:p w:rsidR="002E3271" w:rsidRPr="00421957" w:rsidRDefault="002E3271" w:rsidP="002E3271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2E3271" w:rsidRPr="00421957" w:rsidTr="00B4043D">
        <w:trPr>
          <w:trHeight w:val="2229"/>
        </w:trPr>
        <w:tc>
          <w:tcPr>
            <w:tcW w:w="8048" w:type="dxa"/>
            <w:shd w:val="clear" w:color="auto" w:fill="auto"/>
          </w:tcPr>
          <w:p w:rsidR="002E3271" w:rsidRPr="00421957" w:rsidRDefault="002E3271" w:rsidP="00B4043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Pr="00421957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>
              <w:rPr>
                <w:rFonts w:ascii="Montserrat Light" w:hAnsi="Montserrat Light" w:cs="Times New Roman"/>
                <w:sz w:val="20"/>
                <w:szCs w:val="20"/>
              </w:rPr>
              <w:t>Selon la note n° 09</w:t>
            </w:r>
            <w:r w:rsidR="00ED4831">
              <w:rPr>
                <w:rFonts w:ascii="Montserrat Light" w:hAnsi="Montserrat Light" w:cs="Times New Roman"/>
                <w:sz w:val="20"/>
                <w:szCs w:val="20"/>
              </w:rPr>
              <w:t>6</w:t>
            </w:r>
            <w:bookmarkStart w:id="1" w:name="_GoBack"/>
            <w:bookmarkEnd w:id="1"/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/MIC/DCIC/SA du </w:t>
            </w:r>
            <w:r>
              <w:rPr>
                <w:rFonts w:ascii="Montserrat Light" w:hAnsi="Montserrat Light" w:cs="Times New Roman"/>
                <w:sz w:val="20"/>
                <w:szCs w:val="20"/>
              </w:rPr>
              <w:t xml:space="preserve">02 </w:t>
            </w:r>
            <w:r w:rsidR="005C2BDC">
              <w:rPr>
                <w:rFonts w:ascii="Montserrat Light" w:hAnsi="Montserrat Light" w:cs="Times New Roman"/>
                <w:sz w:val="20"/>
                <w:szCs w:val="20"/>
              </w:rPr>
              <w:t>mars</w:t>
            </w:r>
            <w:r>
              <w:rPr>
                <w:rFonts w:ascii="Montserrat Light" w:hAnsi="Montserrat Light" w:cs="Times New Roman"/>
                <w:sz w:val="20"/>
                <w:szCs w:val="20"/>
              </w:rPr>
              <w:t xml:space="preserve"> 2022</w:t>
            </w: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 de la Direction du Commerce Intérieur et de la Concurrence du Ministère de l’Industrie et du Commerce, les </w:t>
            </w:r>
            <w:r w:rsidRPr="00421957">
              <w:rPr>
                <w:rFonts w:ascii="Montserrat Light" w:hAnsi="Montserrat Light" w:cs="Times New Roman"/>
                <w:b/>
                <w:sz w:val="20"/>
                <w:szCs w:val="20"/>
              </w:rPr>
              <w:t>prix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à la pompe, au titre du mois de </w:t>
            </w:r>
            <w:r w:rsidR="005C2BDC">
              <w:rPr>
                <w:rFonts w:ascii="Montserrat Light" w:hAnsi="Montserrat Light" w:cs="Times New Roman"/>
                <w:b/>
                <w:sz w:val="20"/>
                <w:szCs w:val="20"/>
              </w:rPr>
              <w:t>mars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2022</w:t>
            </w:r>
            <w:r w:rsidRPr="00421957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date, </w:t>
            </w: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ainsi qu’il suit : </w:t>
            </w:r>
          </w:p>
          <w:p w:rsidR="002E3271" w:rsidRPr="00421957" w:rsidRDefault="002E3271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>Gaz domestiqu</w:t>
            </w:r>
            <w:r w:rsidR="005C2BDC">
              <w:rPr>
                <w:rFonts w:ascii="Montserrat Light" w:hAnsi="Montserrat Light" w:cs="Times New Roman"/>
                <w:sz w:val="20"/>
                <w:szCs w:val="20"/>
              </w:rPr>
              <w:t>e : 730</w:t>
            </w: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 F/kg</w:t>
            </w:r>
          </w:p>
          <w:p w:rsidR="002E3271" w:rsidRPr="00421957" w:rsidRDefault="002E3271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</w:t>
            </w: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om</w:t>
            </w:r>
            <w:r w:rsidR="005C2B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estique (bouteille de 6kg) : 4 3</w:t>
            </w: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80</w:t>
            </w: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:rsidR="002E3271" w:rsidRPr="00421957" w:rsidRDefault="002E3271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</w:t>
            </w:r>
            <w:r w:rsidR="005C2B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ue (bouteille de 12 kg) : 8 760</w:t>
            </w: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:rsidR="002E3271" w:rsidRPr="00421957" w:rsidRDefault="002E3271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à la pompe : </w:t>
            </w:r>
            <w:r w:rsidR="005C2B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600</w:t>
            </w: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:rsidR="002E3271" w:rsidRPr="00421957" w:rsidRDefault="002E3271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 w:rsidR="005C2B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66</w:t>
            </w: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5</w:t>
            </w: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</w:tc>
        <w:tc>
          <w:tcPr>
            <w:tcW w:w="5485" w:type="dxa"/>
            <w:shd w:val="clear" w:color="auto" w:fill="auto"/>
          </w:tcPr>
          <w:p w:rsidR="002E3271" w:rsidRPr="00421957" w:rsidRDefault="002E3271" w:rsidP="00B4043D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Les marchés dans lesquels s’effectuent, </w:t>
            </w:r>
          </w:p>
          <w:p w:rsidR="002E3271" w:rsidRPr="00421957" w:rsidRDefault="002E3271" w:rsidP="00B4043D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sz w:val="20"/>
                <w:szCs w:val="20"/>
              </w:rPr>
              <w:t xml:space="preserve">            les observations sont :</w:t>
            </w:r>
          </w:p>
          <w:p w:rsidR="002E3271" w:rsidRPr="00421957" w:rsidRDefault="002E3271" w:rsidP="002E3271">
            <w:pPr>
              <w:numPr>
                <w:ilvl w:val="0"/>
                <w:numId w:val="2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:rsidR="002E3271" w:rsidRPr="00421957" w:rsidRDefault="002E3271" w:rsidP="002E3271">
            <w:pPr>
              <w:numPr>
                <w:ilvl w:val="0"/>
                <w:numId w:val="2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:rsidR="002E3271" w:rsidRPr="00421957" w:rsidRDefault="002E3271" w:rsidP="002E3271">
            <w:pPr>
              <w:numPr>
                <w:ilvl w:val="0"/>
                <w:numId w:val="2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:rsidR="002E3271" w:rsidRPr="00421957" w:rsidRDefault="002E3271" w:rsidP="002E3271">
            <w:pPr>
              <w:numPr>
                <w:ilvl w:val="0"/>
                <w:numId w:val="2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:rsidR="002E3271" w:rsidRPr="00421957" w:rsidRDefault="002E3271" w:rsidP="002E3271">
            <w:pPr>
              <w:numPr>
                <w:ilvl w:val="0"/>
                <w:numId w:val="2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2E3271" w:rsidRPr="00421957" w:rsidRDefault="002E3271" w:rsidP="002E3271">
            <w:pPr>
              <w:numPr>
                <w:ilvl w:val="0"/>
                <w:numId w:val="2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421957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</w:tc>
      </w:tr>
    </w:tbl>
    <w:p w:rsidR="002E3271" w:rsidRPr="00421957" w:rsidRDefault="002E3271" w:rsidP="002E3271">
      <w:pPr>
        <w:spacing w:line="276" w:lineRule="auto"/>
        <w:rPr>
          <w:rFonts w:ascii="Montserrat Light" w:hAnsi="Montserrat Light" w:cs="Times New Roman"/>
        </w:rPr>
      </w:pPr>
    </w:p>
    <w:p w:rsidR="002E3271" w:rsidRPr="00ED1D33" w:rsidRDefault="002E3271" w:rsidP="00274403">
      <w:pPr>
        <w:jc w:val="both"/>
        <w:rPr>
          <w:rFonts w:ascii="Montserrat Light" w:hAnsi="Montserrat Light"/>
        </w:rPr>
      </w:pPr>
    </w:p>
    <w:sectPr w:rsidR="002E3271" w:rsidRPr="00ED1D33" w:rsidSect="0041744B">
      <w:headerReference w:type="default" r:id="rId7"/>
      <w:footerReference w:type="default" r:id="rId8"/>
      <w:headerReference w:type="first" r:id="rId9"/>
      <w:pgSz w:w="16838" w:h="11906" w:orient="landscape"/>
      <w:pgMar w:top="1134" w:right="1440" w:bottom="1021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A0" w:rsidRDefault="007D36A0" w:rsidP="00724F98">
      <w:r>
        <w:separator/>
      </w:r>
    </w:p>
  </w:endnote>
  <w:endnote w:type="continuationSeparator" w:id="0">
    <w:p w:rsidR="007D36A0" w:rsidRDefault="007D36A0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98" w:rsidRDefault="00ED1D33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8805032" cy="455930"/>
          <wp:effectExtent l="0" t="0" r="0" b="1270"/>
          <wp:docPr id="3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575" cy="4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A0" w:rsidRDefault="007D36A0" w:rsidP="00724F98">
      <w:r>
        <w:separator/>
      </w:r>
    </w:p>
  </w:footnote>
  <w:footnote w:type="continuationSeparator" w:id="0">
    <w:p w:rsidR="007D36A0" w:rsidRDefault="007D36A0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98" w:rsidRDefault="00724F98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41744B" w:rsidTr="009E23C7">
      <w:trPr>
        <w:trHeight w:val="1105"/>
      </w:trPr>
      <w:tc>
        <w:tcPr>
          <w:tcW w:w="6548" w:type="dxa"/>
        </w:tcPr>
        <w:p w:rsidR="0041744B" w:rsidRDefault="0041744B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7250DD7D" wp14:editId="234E00A5">
                <wp:extent cx="2657475" cy="876300"/>
                <wp:effectExtent l="0" t="0" r="9525" b="0"/>
                <wp:docPr id="1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:rsidR="0041744B" w:rsidRDefault="0041744B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027B73B7" wp14:editId="5512E8AE">
                <wp:extent cx="1581150" cy="1038225"/>
                <wp:effectExtent l="0" t="0" r="0" b="9525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744B" w:rsidRDefault="004174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62DC8"/>
    <w:rsid w:val="000F6376"/>
    <w:rsid w:val="00122D04"/>
    <w:rsid w:val="00274403"/>
    <w:rsid w:val="00293D6D"/>
    <w:rsid w:val="002B463D"/>
    <w:rsid w:val="002D06AA"/>
    <w:rsid w:val="002D189A"/>
    <w:rsid w:val="002E3271"/>
    <w:rsid w:val="00323BCE"/>
    <w:rsid w:val="00396E3C"/>
    <w:rsid w:val="003A5A59"/>
    <w:rsid w:val="003E00A4"/>
    <w:rsid w:val="003E07DF"/>
    <w:rsid w:val="003F0414"/>
    <w:rsid w:val="004013E2"/>
    <w:rsid w:val="0041744B"/>
    <w:rsid w:val="0047699C"/>
    <w:rsid w:val="004D7A0E"/>
    <w:rsid w:val="005102FC"/>
    <w:rsid w:val="00511FA5"/>
    <w:rsid w:val="00517E70"/>
    <w:rsid w:val="00537CD0"/>
    <w:rsid w:val="005C2BDC"/>
    <w:rsid w:val="005C35A4"/>
    <w:rsid w:val="00622C6F"/>
    <w:rsid w:val="006329E6"/>
    <w:rsid w:val="00650AAA"/>
    <w:rsid w:val="0066279E"/>
    <w:rsid w:val="006B7FBF"/>
    <w:rsid w:val="006E5999"/>
    <w:rsid w:val="00724F98"/>
    <w:rsid w:val="00735084"/>
    <w:rsid w:val="00776161"/>
    <w:rsid w:val="00782CC0"/>
    <w:rsid w:val="00797578"/>
    <w:rsid w:val="007D36A0"/>
    <w:rsid w:val="008246D5"/>
    <w:rsid w:val="00846B9D"/>
    <w:rsid w:val="00905E60"/>
    <w:rsid w:val="00906BE0"/>
    <w:rsid w:val="009453FD"/>
    <w:rsid w:val="009A3013"/>
    <w:rsid w:val="009B4242"/>
    <w:rsid w:val="00A92AA4"/>
    <w:rsid w:val="00B54EE0"/>
    <w:rsid w:val="00B974E2"/>
    <w:rsid w:val="00C76530"/>
    <w:rsid w:val="00C77980"/>
    <w:rsid w:val="00D16ECC"/>
    <w:rsid w:val="00D2020B"/>
    <w:rsid w:val="00DC1997"/>
    <w:rsid w:val="00ED1D33"/>
    <w:rsid w:val="00ED4831"/>
    <w:rsid w:val="00EE31BF"/>
    <w:rsid w:val="00F15848"/>
    <w:rsid w:val="00F5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22022022.dotx</Template>
  <TotalTime>30</TotalTime>
  <Pages>4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12</cp:revision>
  <cp:lastPrinted>2022-02-23T13:58:00Z</cp:lastPrinted>
  <dcterms:created xsi:type="dcterms:W3CDTF">2022-02-23T13:56:00Z</dcterms:created>
  <dcterms:modified xsi:type="dcterms:W3CDTF">2022-03-09T11:26:00Z</dcterms:modified>
</cp:coreProperties>
</file>